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9758D" w14:textId="77777777" w:rsidR="00BF33E4" w:rsidRDefault="00BF33E4" w:rsidP="00F638D5">
      <w:pPr>
        <w:rPr>
          <w:b/>
          <w:sz w:val="28"/>
          <w:szCs w:val="28"/>
        </w:rPr>
      </w:pPr>
      <w:r w:rsidRPr="00BF33E4">
        <w:rPr>
          <w:b/>
          <w:sz w:val="28"/>
          <w:szCs w:val="28"/>
        </w:rPr>
        <w:t xml:space="preserve">Fähigkeiten im Bereich der dimensionalen Messtechnik verbessern die Produktivität und Qualität in der Fertigung </w:t>
      </w:r>
    </w:p>
    <w:p w14:paraId="4C4EB501" w14:textId="34D9478E" w:rsidR="00F638D5" w:rsidRDefault="00BF33E4" w:rsidP="00BF33E4">
      <w:r>
        <w:t>Mitarbeiterqualifikation steigern mit neuen Trainingspaketen von Festo</w:t>
      </w:r>
    </w:p>
    <w:p w14:paraId="0E9ADA98" w14:textId="77777777" w:rsidR="00BF33E4" w:rsidRPr="00F638D5" w:rsidRDefault="00BF33E4" w:rsidP="00BF33E4"/>
    <w:p w14:paraId="7A10D6BB" w14:textId="77777777" w:rsidR="00BF33E4" w:rsidRPr="00BF33E4" w:rsidRDefault="00BF33E4" w:rsidP="00BF33E4">
      <w:pPr>
        <w:rPr>
          <w:rFonts w:eastAsia="Calibri" w:cs="PostGrotesk-Bold"/>
          <w:b/>
          <w:bCs/>
        </w:rPr>
      </w:pPr>
      <w:r w:rsidRPr="00BF33E4">
        <w:rPr>
          <w:rFonts w:eastAsia="Calibri" w:cs="PostGrotesk-Bold"/>
          <w:b/>
          <w:bCs/>
        </w:rPr>
        <w:t>In einer globalisierten, wettbewerbsorientierten Welt ist die Fähigkeit zur Dimensionsprüfung von Produkten der Schlüssel zu hervorragender Fertigung und Qualitätskontrolle. Um die strikte Einhaltung der Konstruktionsspezifikationen zu gewährleisten, sollten Fachkenntnisse in den Bereichen Produktmessung, Interpretation technischer Zeichnungen und statistische Verfahren den Mitarbeitern vermittelt werden. Die Mitarbeiter sollten die Fähigkeiten korrekt anwenden können, wenn sie in der Werkstatt arbeiten.</w:t>
      </w:r>
    </w:p>
    <w:p w14:paraId="7D8F35D8" w14:textId="77777777" w:rsidR="00BF33E4" w:rsidRPr="00BF33E4" w:rsidRDefault="00BF33E4" w:rsidP="00BF33E4">
      <w:pPr>
        <w:rPr>
          <w:rFonts w:eastAsia="Calibri" w:cs="PostGrotesk-Bold"/>
          <w:b/>
          <w:bCs/>
        </w:rPr>
      </w:pPr>
    </w:p>
    <w:p w14:paraId="7A118C30" w14:textId="55DB7860" w:rsidR="00BF33E4" w:rsidRPr="00BF33E4" w:rsidRDefault="00BF33E4" w:rsidP="00BF33E4">
      <w:pPr>
        <w:rPr>
          <w:rFonts w:eastAsia="Calibri" w:cs="PostGrotesk-Bold"/>
        </w:rPr>
      </w:pPr>
      <w:r w:rsidRPr="00BF33E4">
        <w:rPr>
          <w:rFonts w:eastAsia="Calibri" w:cs="PostGrotesk-Bold"/>
        </w:rPr>
        <w:t>„Die Arbeitgeber erwarten solche grundlegenden Fähigkeiten von den Arbeitnehmern. Doch aufgrund des breiten Themenspektrums und der Notwendigkeit umfangreicher praktischer Versuche wird die dimensionale Messtechnik im Unterricht manchmal unvollständig vermittelt", erklärt Dr. Hans Jörg Stotz, Vorstandsmitglied von Festo Didactic. „Deshalb haben wir pragmatische Lernlösungen entwickelt, welche die Aus</w:t>
      </w:r>
      <w:r w:rsidR="004964A9">
        <w:rPr>
          <w:rFonts w:eastAsia="Calibri" w:cs="PostGrotesk-Bold"/>
        </w:rPr>
        <w:t>- und Weiter</w:t>
      </w:r>
      <w:r w:rsidRPr="00BF33E4">
        <w:rPr>
          <w:rFonts w:eastAsia="Calibri" w:cs="PostGrotesk-Bold"/>
        </w:rPr>
        <w:t xml:space="preserve">bildung in der Schule und in der Industrie unterstützen. “   </w:t>
      </w:r>
    </w:p>
    <w:p w14:paraId="0E3BFCDC" w14:textId="77777777" w:rsidR="00BF33E4" w:rsidRPr="00BF33E4" w:rsidRDefault="00BF33E4" w:rsidP="00BF33E4">
      <w:pPr>
        <w:rPr>
          <w:rFonts w:eastAsia="Calibri" w:cs="PostGrotesk-Bold"/>
          <w:b/>
          <w:bCs/>
        </w:rPr>
      </w:pPr>
    </w:p>
    <w:p w14:paraId="2E603B4C" w14:textId="77777777" w:rsidR="00BF33E4" w:rsidRPr="00BF33E4" w:rsidRDefault="00BF33E4" w:rsidP="00BF33E4">
      <w:pPr>
        <w:rPr>
          <w:rFonts w:eastAsia="Calibri" w:cs="PostGrotesk-Bold"/>
          <w:b/>
          <w:bCs/>
        </w:rPr>
      </w:pPr>
      <w:r w:rsidRPr="00BF33E4">
        <w:rPr>
          <w:rFonts w:eastAsia="Calibri" w:cs="PostGrotesk-Bold"/>
          <w:b/>
          <w:bCs/>
        </w:rPr>
        <w:t>Umfassende Schulungen, um Fähigkeiten auf die Probe zu stellen</w:t>
      </w:r>
    </w:p>
    <w:p w14:paraId="3CCF8F01" w14:textId="13C5D4DC" w:rsidR="00BF33E4" w:rsidRPr="00BF33E4" w:rsidRDefault="00BF33E4" w:rsidP="00BF33E4">
      <w:pPr>
        <w:rPr>
          <w:rFonts w:eastAsia="Calibri" w:cs="PostGrotesk-Bold"/>
        </w:rPr>
      </w:pPr>
      <w:r w:rsidRPr="00BF33E4">
        <w:rPr>
          <w:rFonts w:eastAsia="Calibri" w:cs="PostGrotesk-Bold"/>
        </w:rPr>
        <w:t xml:space="preserve">Drei neue </w:t>
      </w:r>
      <w:r w:rsidR="00391A0D">
        <w:rPr>
          <w:rFonts w:eastAsia="Calibri" w:cs="PostGrotesk-Bold"/>
        </w:rPr>
        <w:t>Training</w:t>
      </w:r>
      <w:r w:rsidR="00391A0D" w:rsidRPr="00BF33E4">
        <w:rPr>
          <w:rFonts w:eastAsia="Calibri" w:cs="PostGrotesk-Bold"/>
        </w:rPr>
        <w:t xml:space="preserve">spakete </w:t>
      </w:r>
      <w:r w:rsidRPr="00BF33E4">
        <w:rPr>
          <w:rFonts w:eastAsia="Calibri" w:cs="PostGrotesk-Bold"/>
        </w:rPr>
        <w:t>beschleunigen den Wissenserwerb sowie die Entwicklung und Bewertung praktischer Fähigkeiten in den Bereichen dimensionale Messtechnik, Form- und Lagetoleranzen und statistische Prozesslenkung, auf die Anforderungen der Fertigungsindustrie angewendet werden.</w:t>
      </w:r>
    </w:p>
    <w:p w14:paraId="01ADDC47" w14:textId="77777777" w:rsidR="00BF33E4" w:rsidRPr="00BF33E4" w:rsidRDefault="00BF33E4" w:rsidP="00BF33E4">
      <w:pPr>
        <w:rPr>
          <w:rFonts w:eastAsia="Calibri" w:cs="PostGrotesk-Bold"/>
        </w:rPr>
      </w:pPr>
    </w:p>
    <w:p w14:paraId="05E84B24" w14:textId="77777777" w:rsidR="00BF33E4" w:rsidRPr="00BF33E4" w:rsidRDefault="00BF33E4" w:rsidP="00BF33E4">
      <w:pPr>
        <w:rPr>
          <w:rFonts w:eastAsia="Calibri" w:cs="PostGrotesk-Bold"/>
        </w:rPr>
      </w:pPr>
      <w:r w:rsidRPr="00BF33E4">
        <w:rPr>
          <w:rFonts w:eastAsia="Calibri" w:cs="PostGrotesk-Bold"/>
        </w:rPr>
        <w:t>Multimediales Kursmaterial führt die Lernenden (Studenten, Auszubildende oder Mitarbeiter) durch ein umfangreiches Angebot an Aktivitäten und Projekten. Die Materialien sind mit steigender Komplexität angeordnet. Praktische Experimente werden mit schlüsselfertigen Geräten durchgeführt. Modulare Kurse und Ausrüstung sorgen für Flexibilität: Die Ausbildung kann an die individuellen Bedürfnisse angepasst werden, sei es im Rahmen eines formalen Kurses oder als selbstgesteuertes Lernen.</w:t>
      </w:r>
    </w:p>
    <w:p w14:paraId="3B975229" w14:textId="77777777" w:rsidR="00BF33E4" w:rsidRPr="00BF33E4" w:rsidRDefault="00BF33E4" w:rsidP="00BF33E4">
      <w:pPr>
        <w:rPr>
          <w:rFonts w:eastAsia="Calibri" w:cs="PostGrotesk-Bold"/>
        </w:rPr>
      </w:pPr>
    </w:p>
    <w:p w14:paraId="3737D490" w14:textId="77777777" w:rsidR="00BF33E4" w:rsidRPr="00BF33E4" w:rsidRDefault="00BF33E4" w:rsidP="00BF33E4">
      <w:pPr>
        <w:rPr>
          <w:rFonts w:eastAsia="Calibri" w:cs="PostGrotesk-Bold"/>
          <w:b/>
          <w:bCs/>
        </w:rPr>
      </w:pPr>
      <w:r w:rsidRPr="00BF33E4">
        <w:rPr>
          <w:rFonts w:eastAsia="Calibri" w:cs="PostGrotesk-Bold"/>
          <w:b/>
          <w:bCs/>
        </w:rPr>
        <w:t>Relevante Fähigkeiten für die Arbeit</w:t>
      </w:r>
    </w:p>
    <w:p w14:paraId="73E27585" w14:textId="2783C9A0" w:rsidR="00BF33E4" w:rsidRDefault="00BF33E4" w:rsidP="00BF33E4">
      <w:pPr>
        <w:rPr>
          <w:rFonts w:eastAsia="Calibri" w:cs="PostGrotesk-Bold"/>
        </w:rPr>
      </w:pPr>
      <w:r w:rsidRPr="00BF33E4">
        <w:rPr>
          <w:rFonts w:eastAsia="Calibri" w:cs="PostGrotesk-Bold"/>
        </w:rPr>
        <w:t xml:space="preserve">Um ein Höchstmaß an pädagogischem Wert zu gewährleisten, haben erfahrene Lehrer wertvolle Rückmeldungen zu ihren Ausbildungsanforderungen gegeben. „Es geht nicht nur um die Messung von Aufgaben und reinem Fachwissen. Durch die Kurse lassen sich übergreifende Kompetenzen wie Entscheidungs- und Problemlösungskompetenz einwickeln, eine Voraussetzung für die heutige Arbeitswelt", sagt François-Philippe Paradis, Produktmanager für Lernlösungen </w:t>
      </w:r>
      <w:r w:rsidR="004964A9" w:rsidRPr="004964A9">
        <w:rPr>
          <w:rFonts w:eastAsia="Calibri" w:cs="PostGrotesk-Bold"/>
        </w:rPr>
        <w:t>für industrielle Berufes</w:t>
      </w:r>
      <w:r w:rsidRPr="00BF33E4">
        <w:rPr>
          <w:rFonts w:eastAsia="Calibri" w:cs="PostGrotesk-Bold"/>
        </w:rPr>
        <w:t xml:space="preserve">, Festo Didactic.  </w:t>
      </w:r>
    </w:p>
    <w:p w14:paraId="7157CEF3" w14:textId="77777777" w:rsidR="00BF33E4" w:rsidRPr="00BF33E4" w:rsidRDefault="00BF33E4" w:rsidP="00BF33E4">
      <w:pPr>
        <w:rPr>
          <w:rFonts w:eastAsia="Calibri" w:cs="PostGrotesk-Bold"/>
        </w:rPr>
      </w:pPr>
    </w:p>
    <w:p w14:paraId="51C36E05" w14:textId="05DAC077" w:rsidR="00BF33E4" w:rsidRDefault="00BF33E4" w:rsidP="00BF33E4">
      <w:pPr>
        <w:rPr>
          <w:rFonts w:eastAsia="Calibri" w:cs="PostGrotesk-Bold"/>
        </w:rPr>
      </w:pPr>
      <w:r w:rsidRPr="00BF33E4">
        <w:rPr>
          <w:rFonts w:eastAsia="Calibri" w:cs="PostGrotesk-Bold"/>
        </w:rPr>
        <w:t xml:space="preserve">Die </w:t>
      </w:r>
      <w:r w:rsidR="00391A0D">
        <w:rPr>
          <w:rFonts w:eastAsia="Calibri" w:cs="PostGrotesk-Bold"/>
        </w:rPr>
        <w:t>Training</w:t>
      </w:r>
      <w:r w:rsidR="00391A0D" w:rsidRPr="00BF33E4">
        <w:rPr>
          <w:rFonts w:eastAsia="Calibri" w:cs="PostGrotesk-Bold"/>
        </w:rPr>
        <w:t xml:space="preserve">spakete </w:t>
      </w:r>
      <w:r w:rsidRPr="00BF33E4">
        <w:rPr>
          <w:rFonts w:eastAsia="Calibri" w:cs="PostGrotesk-Bold"/>
        </w:rPr>
        <w:t xml:space="preserve">sind bei den Vertriebsmitarbeitern oder Händlern von Festo Didactic erhältlich. Für weitere Informationen, einschließlich Zugang zu Videos, besuchen Sie bitte unsere Website: </w:t>
      </w:r>
      <w:hyperlink r:id="rId10" w:history="1">
        <w:r w:rsidR="00C905ED" w:rsidRPr="00465095">
          <w:rPr>
            <w:rStyle w:val="Hyperlink"/>
            <w:rFonts w:eastAsia="Calibri" w:cs="PostGrotesk-Bold"/>
          </w:rPr>
          <w:t>https://bit.ly/3BXHmQ3</w:t>
        </w:r>
      </w:hyperlink>
    </w:p>
    <w:p w14:paraId="199088E9" w14:textId="77777777" w:rsidR="00F638D5" w:rsidRPr="00F638D5" w:rsidRDefault="00F638D5" w:rsidP="00F638D5">
      <w:pPr>
        <w:rPr>
          <w:rFonts w:eastAsia="Calibri" w:cs="PostGrotesk-Bold"/>
          <w:b/>
          <w:bCs/>
        </w:rPr>
      </w:pPr>
    </w:p>
    <w:p w14:paraId="72BE60E9" w14:textId="7D0A9203" w:rsidR="00F638D5" w:rsidRPr="00142BF5" w:rsidRDefault="00F638D5" w:rsidP="00F638D5">
      <w:pPr>
        <w:rPr>
          <w:rFonts w:eastAsia="Calibri" w:cs="PostGrotesk-Bold"/>
          <w:b/>
          <w:bCs/>
        </w:rPr>
      </w:pPr>
      <w:r w:rsidRPr="00142BF5">
        <w:rPr>
          <w:rFonts w:eastAsia="Calibri" w:cs="PostGrotesk-Bold"/>
          <w:b/>
          <w:bCs/>
        </w:rPr>
        <w:t>Hinweis:</w:t>
      </w:r>
    </w:p>
    <w:p w14:paraId="0C98B0B3" w14:textId="77777777" w:rsidR="00F638D5" w:rsidRPr="00142BF5" w:rsidRDefault="00F638D5" w:rsidP="00F638D5">
      <w:pPr>
        <w:rPr>
          <w:rFonts w:eastAsia="Calibri" w:cs="PostGrotesk-Bold"/>
        </w:rPr>
      </w:pPr>
    </w:p>
    <w:p w14:paraId="58BF85CA" w14:textId="77777777" w:rsidR="00F638D5" w:rsidRPr="00142BF5" w:rsidRDefault="00F638D5" w:rsidP="00F638D5">
      <w:pPr>
        <w:pStyle w:val="KeinLeerraum"/>
        <w:rPr>
          <w:rFonts w:eastAsia="Calibri" w:cs="PostGrotesk-Bold"/>
          <w:i/>
          <w:iCs/>
        </w:rPr>
      </w:pPr>
      <w:r w:rsidRPr="00142BF5">
        <w:rPr>
          <w:rFonts w:eastAsia="Calibri" w:cs="PostGrotesk-Bold"/>
          <w:i/>
          <w:iCs/>
        </w:rPr>
        <w:t>Aus Gründen der besseren Lesbarkeit wird bei Personenbezeichnungen und personenbezogenen Hauptwörtern auf dieser Website und in den Pressemitteilungen die männliche Form verwendet. Entsprechende Begriffe gelten im Sinne der Gleichbehandlung grundsätzlich für alle Geschlechter. Die verkürzte Sprachform hat nur redaktionelle Gründe und beinhaltet keine Wertung.</w:t>
      </w:r>
    </w:p>
    <w:p w14:paraId="17E2CC25" w14:textId="77777777" w:rsidR="00F638D5" w:rsidRPr="00142BF5" w:rsidRDefault="00F638D5" w:rsidP="00F638D5">
      <w:pPr>
        <w:rPr>
          <w:color w:val="333333"/>
          <w:spacing w:val="4"/>
        </w:rPr>
      </w:pPr>
    </w:p>
    <w:p w14:paraId="03101254" w14:textId="40AF1B81" w:rsidR="00F638D5" w:rsidRPr="00F638D5" w:rsidRDefault="00F638D5" w:rsidP="00F638D5">
      <w:pPr>
        <w:pStyle w:val="KeinLeerraum"/>
      </w:pPr>
      <w:r w:rsidRPr="00F638D5">
        <w:t xml:space="preserve">Pressebild 1: </w:t>
      </w:r>
      <w:r w:rsidR="00CC6928">
        <w:rPr>
          <w:iCs/>
        </w:rPr>
        <w:t>Neue Schulungspakete</w:t>
      </w:r>
    </w:p>
    <w:p w14:paraId="10D7973F" w14:textId="341657B1" w:rsidR="00CC6928" w:rsidRDefault="00F638D5" w:rsidP="00F638D5">
      <w:pPr>
        <w:pStyle w:val="KeinLeerraum"/>
      </w:pPr>
      <w:r w:rsidRPr="00F638D5">
        <w:rPr>
          <w:iCs/>
        </w:rPr>
        <w:t xml:space="preserve">Bildunterschrift: </w:t>
      </w:r>
      <w:r w:rsidR="00CC6928" w:rsidRPr="00CC6928">
        <w:t xml:space="preserve">Die neuen </w:t>
      </w:r>
      <w:r w:rsidR="004964A9">
        <w:t>Training</w:t>
      </w:r>
      <w:r w:rsidR="004964A9" w:rsidRPr="00CC6928">
        <w:t xml:space="preserve">spakete </w:t>
      </w:r>
      <w:r w:rsidR="00CC6928" w:rsidRPr="00CC6928">
        <w:t>für dimensionale Messtechnik und Qualität von Festo Didactic sind so konzipiert, dass sie eine breite Palette von Fähigkeiten für angehende und bestehende Mitarbeiter in der Fertigung vermitteln</w:t>
      </w:r>
      <w:r w:rsidR="00CC6928">
        <w:t>.</w:t>
      </w:r>
    </w:p>
    <w:p w14:paraId="6984CD66" w14:textId="31C294EA" w:rsidR="00F638D5" w:rsidRPr="00C905ED" w:rsidRDefault="00F638D5" w:rsidP="00F638D5">
      <w:pPr>
        <w:pStyle w:val="KeinLeerraum"/>
      </w:pPr>
      <w:r w:rsidRPr="00C905ED">
        <w:rPr>
          <w:iCs/>
        </w:rPr>
        <w:t xml:space="preserve">Bild: </w:t>
      </w:r>
      <w:r w:rsidR="00CC6928" w:rsidRPr="00C905ED">
        <w:t>Festo Didactic</w:t>
      </w:r>
    </w:p>
    <w:p w14:paraId="1D2C9EEF" w14:textId="53D9FE3B" w:rsidR="00F638D5" w:rsidRPr="00C905ED" w:rsidRDefault="00F638D5" w:rsidP="00F638D5">
      <w:pPr>
        <w:pStyle w:val="KeinLeerraum"/>
      </w:pPr>
    </w:p>
    <w:p w14:paraId="6CFAFB3E" w14:textId="470B5964" w:rsidR="00F638D5" w:rsidRPr="00CC6928" w:rsidRDefault="00F638D5" w:rsidP="00F638D5">
      <w:pPr>
        <w:pStyle w:val="KeinLeerraum"/>
        <w:rPr>
          <w:iCs/>
        </w:rPr>
      </w:pPr>
      <w:r w:rsidRPr="00CC6928">
        <w:rPr>
          <w:iCs/>
        </w:rPr>
        <w:t xml:space="preserve">Pressebild 2: </w:t>
      </w:r>
      <w:r w:rsidR="00CC6928" w:rsidRPr="00CC6928">
        <w:rPr>
          <w:iCs/>
        </w:rPr>
        <w:t>Relevante Lerninhalte</w:t>
      </w:r>
    </w:p>
    <w:p w14:paraId="0803CD8E" w14:textId="007D2B5A" w:rsidR="00CC6928" w:rsidRPr="00CC6928" w:rsidRDefault="00F638D5" w:rsidP="00F638D5">
      <w:pPr>
        <w:rPr>
          <w:rFonts w:ascii="Calibri" w:hAnsi="Calibri"/>
        </w:rPr>
      </w:pPr>
      <w:r w:rsidRPr="00F638D5">
        <w:rPr>
          <w:iCs/>
        </w:rPr>
        <w:t xml:space="preserve">Bildunterschrift: </w:t>
      </w:r>
      <w:r w:rsidR="00CC6928" w:rsidRPr="00CC6928">
        <w:t xml:space="preserve">Die Studierenden lernen den richtigen Umgang mit Messinstrumenten, die genaue Interpretation von technischen Zeichnungen unter Verwendung Form- und Lagetoleranzen </w:t>
      </w:r>
      <w:r w:rsidR="00CC6928">
        <w:rPr>
          <w:rFonts w:ascii="Calibri" w:hAnsi="Calibri"/>
        </w:rPr>
        <w:t xml:space="preserve">sowie </w:t>
      </w:r>
      <w:r w:rsidR="00CC6928" w:rsidRPr="00CC6928">
        <w:t>den Einsatz von Statistiken zur Qualitätskontrolle.</w:t>
      </w:r>
    </w:p>
    <w:p w14:paraId="497ACC1A" w14:textId="51F03A92" w:rsidR="00F638D5" w:rsidRPr="00F638D5" w:rsidRDefault="00F638D5" w:rsidP="00F638D5">
      <w:r w:rsidRPr="00F638D5">
        <w:t xml:space="preserve">Bild: </w:t>
      </w:r>
      <w:r w:rsidR="00CC6928">
        <w:t>Festo Didactic</w:t>
      </w:r>
    </w:p>
    <w:p w14:paraId="13001542" w14:textId="1BE58BCE" w:rsidR="00F638D5" w:rsidRDefault="00F638D5" w:rsidP="00F638D5"/>
    <w:p w14:paraId="503119A1" w14:textId="57906C54" w:rsidR="008D4444" w:rsidRDefault="008D4444" w:rsidP="00F638D5"/>
    <w:p w14:paraId="5A98C395" w14:textId="77777777" w:rsidR="00142BF5" w:rsidRPr="00F638D5" w:rsidRDefault="00142BF5" w:rsidP="00F638D5"/>
    <w:p w14:paraId="703600B0" w14:textId="50B30198" w:rsidR="00F638D5" w:rsidRPr="00F638D5" w:rsidRDefault="00F638D5" w:rsidP="00F638D5">
      <w:r w:rsidRPr="00F638D5">
        <w:lastRenderedPageBreak/>
        <w:t xml:space="preserve">Pressebild 3: </w:t>
      </w:r>
      <w:r w:rsidR="00AF0817">
        <w:t>Kurse ab sofort verfügbar</w:t>
      </w:r>
    </w:p>
    <w:p w14:paraId="48E0E7CB" w14:textId="77777777" w:rsidR="00AF0817" w:rsidRDefault="00F638D5" w:rsidP="00F638D5">
      <w:r w:rsidRPr="00F638D5">
        <w:t xml:space="preserve">Bildunterschrift: </w:t>
      </w:r>
      <w:r w:rsidR="00AF0817" w:rsidRPr="00AF0817">
        <w:t>Die Kurse sind als eLab-Kurs auf dem Festo LX-Portal, in gedruckter Form oder als PDF-Workbook verfügbar.</w:t>
      </w:r>
    </w:p>
    <w:p w14:paraId="7120B964" w14:textId="634E2B53" w:rsidR="00F638D5" w:rsidRPr="00F638D5" w:rsidRDefault="00F638D5" w:rsidP="00F638D5">
      <w:r w:rsidRPr="00F638D5">
        <w:t xml:space="preserve">Bild: </w:t>
      </w:r>
      <w:r w:rsidR="00CC6928">
        <w:t>Festo Didactic</w:t>
      </w:r>
    </w:p>
    <w:p w14:paraId="277E051F" w14:textId="06F4D691" w:rsidR="00F638D5" w:rsidRPr="00F638D5" w:rsidRDefault="00F638D5" w:rsidP="00F638D5">
      <w:pPr>
        <w:pStyle w:val="KeinLeerraum"/>
        <w:rPr>
          <w:iCs/>
        </w:rPr>
      </w:pPr>
    </w:p>
    <w:p w14:paraId="26C8B705" w14:textId="77777777" w:rsidR="00F638D5" w:rsidRPr="00F638D5" w:rsidRDefault="00F638D5" w:rsidP="00F638D5"/>
    <w:p w14:paraId="4DC1A5CE" w14:textId="77777777" w:rsidR="00F638D5" w:rsidRPr="00F638D5" w:rsidRDefault="00F638D5" w:rsidP="00F638D5"/>
    <w:p w14:paraId="1902B5E4" w14:textId="77777777" w:rsidR="00F638D5" w:rsidRPr="00F638D5" w:rsidRDefault="00F638D5" w:rsidP="00F638D5"/>
    <w:p w14:paraId="7EDC809F" w14:textId="77777777" w:rsidR="008329A8" w:rsidRPr="00F638D5" w:rsidRDefault="008329A8" w:rsidP="003928ED"/>
    <w:sectPr w:rsidR="008329A8" w:rsidRPr="00F638D5"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C085A" w14:textId="77777777" w:rsidR="00F638D5" w:rsidRDefault="00F638D5" w:rsidP="00F638D5">
      <w:r>
        <w:separator/>
      </w:r>
    </w:p>
  </w:endnote>
  <w:endnote w:type="continuationSeparator" w:id="0">
    <w:p w14:paraId="52A16DB7" w14:textId="77777777" w:rsidR="00F638D5" w:rsidRDefault="00F638D5" w:rsidP="00F6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Calibri">
    <w:panose1 w:val="020F0502020204030204"/>
    <w:charset w:val="00"/>
    <w:family w:val="swiss"/>
    <w:pitch w:val="variable"/>
    <w:sig w:usb0="E4002EFF" w:usb1="C000247B" w:usb2="00000009" w:usb3="00000000" w:csb0="000001FF" w:csb1="00000000"/>
  </w:font>
  <w:font w:name="PostGrotesk-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41812" w14:textId="77777777" w:rsidR="00F638D5" w:rsidRDefault="00F638D5" w:rsidP="00F638D5">
      <w:r>
        <w:separator/>
      </w:r>
    </w:p>
  </w:footnote>
  <w:footnote w:type="continuationSeparator" w:id="0">
    <w:p w14:paraId="37369554" w14:textId="77777777" w:rsidR="00F638D5" w:rsidRDefault="00F638D5" w:rsidP="00F6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A921BB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745F2298"/>
    <w:multiLevelType w:val="singleLevel"/>
    <w:tmpl w:val="BA2CB5C0"/>
    <w:lvl w:ilvl="0">
      <w:numFmt w:val="decimal"/>
      <w:lvlText w:val="%1"/>
      <w:legacy w:legacy="1" w:legacySpace="0" w:legacyIndent="0"/>
      <w:lvlJc w:val="left"/>
    </w:lvl>
  </w:abstractNum>
  <w:num w:numId="1">
    <w:abstractNumId w:val="10"/>
  </w:num>
  <w:num w:numId="2">
    <w:abstractNumId w:val="12"/>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5"/>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Formattin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D5"/>
    <w:rsid w:val="00023050"/>
    <w:rsid w:val="000A05A8"/>
    <w:rsid w:val="000C6A47"/>
    <w:rsid w:val="00103DE0"/>
    <w:rsid w:val="001136B9"/>
    <w:rsid w:val="0013576C"/>
    <w:rsid w:val="00142BF5"/>
    <w:rsid w:val="00145C44"/>
    <w:rsid w:val="001D2457"/>
    <w:rsid w:val="00202BE1"/>
    <w:rsid w:val="00212348"/>
    <w:rsid w:val="00286DF1"/>
    <w:rsid w:val="002A7EEE"/>
    <w:rsid w:val="002C096A"/>
    <w:rsid w:val="002D10A3"/>
    <w:rsid w:val="00300432"/>
    <w:rsid w:val="003130B7"/>
    <w:rsid w:val="00325FC5"/>
    <w:rsid w:val="00364395"/>
    <w:rsid w:val="003713A4"/>
    <w:rsid w:val="00386387"/>
    <w:rsid w:val="00386DA9"/>
    <w:rsid w:val="00391A0D"/>
    <w:rsid w:val="003928ED"/>
    <w:rsid w:val="003932FB"/>
    <w:rsid w:val="003C3475"/>
    <w:rsid w:val="00406EC9"/>
    <w:rsid w:val="00417C63"/>
    <w:rsid w:val="00470412"/>
    <w:rsid w:val="00486D88"/>
    <w:rsid w:val="004964A9"/>
    <w:rsid w:val="004C08C1"/>
    <w:rsid w:val="004D2B30"/>
    <w:rsid w:val="004F45C6"/>
    <w:rsid w:val="005251E5"/>
    <w:rsid w:val="0053047F"/>
    <w:rsid w:val="00577C78"/>
    <w:rsid w:val="005854E3"/>
    <w:rsid w:val="00604BC4"/>
    <w:rsid w:val="00621121"/>
    <w:rsid w:val="00622390"/>
    <w:rsid w:val="006635F9"/>
    <w:rsid w:val="006856B3"/>
    <w:rsid w:val="00703274"/>
    <w:rsid w:val="00713DC4"/>
    <w:rsid w:val="00725E41"/>
    <w:rsid w:val="00751715"/>
    <w:rsid w:val="00795052"/>
    <w:rsid w:val="007A5BF3"/>
    <w:rsid w:val="007C51C4"/>
    <w:rsid w:val="007F2D2E"/>
    <w:rsid w:val="00806AF1"/>
    <w:rsid w:val="008246A7"/>
    <w:rsid w:val="008325C3"/>
    <w:rsid w:val="008329A8"/>
    <w:rsid w:val="008630D8"/>
    <w:rsid w:val="00867589"/>
    <w:rsid w:val="00884E1B"/>
    <w:rsid w:val="008D4444"/>
    <w:rsid w:val="008E10A9"/>
    <w:rsid w:val="008E646C"/>
    <w:rsid w:val="008F4758"/>
    <w:rsid w:val="008F5E14"/>
    <w:rsid w:val="008F6BEF"/>
    <w:rsid w:val="009239E3"/>
    <w:rsid w:val="009D2AB8"/>
    <w:rsid w:val="009E629D"/>
    <w:rsid w:val="009F49BB"/>
    <w:rsid w:val="00A0118C"/>
    <w:rsid w:val="00A10546"/>
    <w:rsid w:val="00A3613E"/>
    <w:rsid w:val="00A415B3"/>
    <w:rsid w:val="00A54346"/>
    <w:rsid w:val="00A719B3"/>
    <w:rsid w:val="00A80004"/>
    <w:rsid w:val="00A86EB2"/>
    <w:rsid w:val="00AB7F47"/>
    <w:rsid w:val="00AD1BCF"/>
    <w:rsid w:val="00AD644D"/>
    <w:rsid w:val="00AE01F1"/>
    <w:rsid w:val="00AF0817"/>
    <w:rsid w:val="00B2068F"/>
    <w:rsid w:val="00B240DC"/>
    <w:rsid w:val="00B35121"/>
    <w:rsid w:val="00BB701A"/>
    <w:rsid w:val="00BC15F1"/>
    <w:rsid w:val="00BF33E4"/>
    <w:rsid w:val="00C05101"/>
    <w:rsid w:val="00C408C2"/>
    <w:rsid w:val="00C4764A"/>
    <w:rsid w:val="00C55E7F"/>
    <w:rsid w:val="00C57CE4"/>
    <w:rsid w:val="00C905ED"/>
    <w:rsid w:val="00CC6928"/>
    <w:rsid w:val="00CE423E"/>
    <w:rsid w:val="00D065C6"/>
    <w:rsid w:val="00D10BC3"/>
    <w:rsid w:val="00D760D8"/>
    <w:rsid w:val="00D83479"/>
    <w:rsid w:val="00D867D1"/>
    <w:rsid w:val="00DA4EF3"/>
    <w:rsid w:val="00DE5EE3"/>
    <w:rsid w:val="00DE73FE"/>
    <w:rsid w:val="00E00BAB"/>
    <w:rsid w:val="00E17B0E"/>
    <w:rsid w:val="00E36DE7"/>
    <w:rsid w:val="00E62937"/>
    <w:rsid w:val="00E73AA6"/>
    <w:rsid w:val="00EA7DDC"/>
    <w:rsid w:val="00EE21D2"/>
    <w:rsid w:val="00F0540A"/>
    <w:rsid w:val="00F303B0"/>
    <w:rsid w:val="00F61612"/>
    <w:rsid w:val="00F638D5"/>
    <w:rsid w:val="00F92FF1"/>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C77072"/>
  <w15:chartTrackingRefBased/>
  <w15:docId w15:val="{B3B5C070-30BA-4B59-9E30-0B9A57C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38D5"/>
    <w:rPr>
      <w:rFonts w:ascii="MetaPlusLF" w:hAnsi="MetaPlusLF"/>
    </w:rPr>
  </w:style>
  <w:style w:type="paragraph" w:styleId="berschrift1">
    <w:name w:val="heading 1"/>
    <w:basedOn w:val="Standard"/>
    <w:next w:val="Standard"/>
    <w:qFormat/>
    <w:rsid w:val="00577C78"/>
    <w:pPr>
      <w:keepNext/>
      <w:numPr>
        <w:numId w:val="4"/>
      </w:numPr>
      <w:ind w:left="431" w:hanging="431"/>
      <w:outlineLvl w:val="0"/>
    </w:pPr>
    <w:rPr>
      <w:b/>
      <w:sz w:val="24"/>
    </w:rPr>
  </w:style>
  <w:style w:type="paragraph" w:styleId="berschrift2">
    <w:name w:val="heading 2"/>
    <w:basedOn w:val="Standard"/>
    <w:next w:val="Standard"/>
    <w:qFormat/>
    <w:rsid w:val="00577C78"/>
    <w:pPr>
      <w:keepNext/>
      <w:numPr>
        <w:ilvl w:val="1"/>
        <w:numId w:val="5"/>
      </w:numPr>
      <w:ind w:left="578" w:hanging="578"/>
      <w:outlineLvl w:val="1"/>
    </w:pPr>
    <w:rPr>
      <w:b/>
    </w:rPr>
  </w:style>
  <w:style w:type="paragraph" w:styleId="berschrift3">
    <w:name w:val="heading 3"/>
    <w:basedOn w:val="Standard"/>
    <w:next w:val="Standard"/>
    <w:qFormat/>
    <w:rsid w:val="00406EC9"/>
    <w:pPr>
      <w:keepNext/>
      <w:numPr>
        <w:ilvl w:val="2"/>
        <w:numId w:val="6"/>
      </w:numPr>
      <w:outlineLvl w:val="2"/>
    </w:pPr>
  </w:style>
  <w:style w:type="paragraph" w:styleId="berschrift4">
    <w:name w:val="heading 4"/>
    <w:basedOn w:val="Standard"/>
    <w:next w:val="Standard"/>
    <w:qFormat/>
    <w:rsid w:val="00577C78"/>
    <w:pPr>
      <w:keepNext/>
      <w:numPr>
        <w:ilvl w:val="3"/>
        <w:numId w:val="3"/>
      </w:numPr>
      <w:ind w:left="862" w:hanging="862"/>
      <w:outlineLvl w:val="3"/>
    </w:pPr>
  </w:style>
  <w:style w:type="paragraph" w:styleId="berschrift5">
    <w:name w:val="heading 5"/>
    <w:basedOn w:val="Standard"/>
    <w:next w:val="Standard"/>
    <w:rsid w:val="00577C78"/>
    <w:pPr>
      <w:numPr>
        <w:ilvl w:val="4"/>
        <w:numId w:val="7"/>
      </w:numPr>
      <w:ind w:left="1009" w:hanging="1009"/>
      <w:outlineLvl w:val="4"/>
    </w:pPr>
  </w:style>
  <w:style w:type="paragraph" w:styleId="berschrift6">
    <w:name w:val="heading 6"/>
    <w:basedOn w:val="Standard"/>
    <w:next w:val="Standard"/>
    <w:rsid w:val="00577C78"/>
    <w:pPr>
      <w:numPr>
        <w:ilvl w:val="5"/>
        <w:numId w:val="8"/>
      </w:numPr>
      <w:ind w:left="1151" w:hanging="1151"/>
      <w:outlineLvl w:val="5"/>
    </w:pPr>
  </w:style>
  <w:style w:type="paragraph" w:styleId="berschrift7">
    <w:name w:val="heading 7"/>
    <w:basedOn w:val="Standard"/>
    <w:next w:val="Standard"/>
    <w:rsid w:val="00577C78"/>
    <w:pPr>
      <w:numPr>
        <w:ilvl w:val="6"/>
        <w:numId w:val="9"/>
      </w:numPr>
      <w:ind w:left="1298" w:hanging="1298"/>
      <w:outlineLvl w:val="6"/>
    </w:pPr>
  </w:style>
  <w:style w:type="paragraph" w:styleId="berschrift8">
    <w:name w:val="heading 8"/>
    <w:basedOn w:val="Standard"/>
    <w:next w:val="Standard"/>
    <w:rsid w:val="00577C78"/>
    <w:pPr>
      <w:numPr>
        <w:ilvl w:val="7"/>
        <w:numId w:val="10"/>
      </w:numPr>
      <w:outlineLvl w:val="7"/>
    </w:pPr>
  </w:style>
  <w:style w:type="paragraph" w:styleId="berschrift9">
    <w:name w:val="heading 9"/>
    <w:basedOn w:val="Standard"/>
    <w:next w:val="Standard"/>
    <w:rsid w:val="00577C78"/>
    <w:pPr>
      <w:numPr>
        <w:ilvl w:val="8"/>
        <w:numId w:val="11"/>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numPr>
        <w:numId w:val="24"/>
      </w:numPr>
      <w:ind w:left="113" w:hanging="113"/>
      <w:contextualSpacing/>
    </w:pPr>
  </w:style>
  <w:style w:type="table" w:customStyle="1" w:styleId="CorporateDesign">
    <w:name w:val="Corporate Design"/>
    <w:basedOn w:val="NormaleTabel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character" w:styleId="Platzhaltertext">
    <w:name w:val="Placeholder Text"/>
    <w:uiPriority w:val="99"/>
    <w:semiHidden/>
    <w:rsid w:val="00F638D5"/>
    <w:rPr>
      <w:color w:val="808080"/>
    </w:rPr>
  </w:style>
  <w:style w:type="paragraph" w:styleId="KeinLeerraum">
    <w:name w:val="No Spacing"/>
    <w:uiPriority w:val="1"/>
    <w:qFormat/>
    <w:rsid w:val="00F638D5"/>
    <w:rPr>
      <w:rFonts w:ascii="MetaPlusLF" w:hAnsi="MetaPlusLF"/>
    </w:rPr>
  </w:style>
  <w:style w:type="character" w:styleId="NichtaufgelsteErwhnung">
    <w:name w:val="Unresolved Mention"/>
    <w:basedOn w:val="Absatz-Standardschriftart"/>
    <w:uiPriority w:val="99"/>
    <w:semiHidden/>
    <w:unhideWhenUsed/>
    <w:rsid w:val="00C9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3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it.ly/3BXHmQ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3" ma:contentTypeDescription="Create a new document." ma:contentTypeScope="" ma:versionID="04485aa5cf4cb793b7569e9d89db7c6b">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ae23916d76d549c2949be2f7b88d6028"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element ref="ns3:Status" minOccurs="0"/>
                <xsd:element ref="ns3: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Status" ma:index="13" nillable="true" ma:displayName="Status" ma:format="Dropdown" ma:internalName="Status">
      <xsd:simpleType>
        <xsd:restriction base="dms:Choice">
          <xsd:enumeration value="Ready To Schedule"/>
          <xsd:enumeration value="Scheduled"/>
          <xsd:enumeration value="In Preparation"/>
          <xsd:enumeration value="Not Posted"/>
        </xsd:restriction>
      </xsd:simpleType>
    </xsd:element>
    <xsd:element name="Responsible" ma:index="14" nillable="true" ma:displayName="Responsible" ma:description="How is owner of this post"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sponsible xmlns="24f3646a-db8b-4542-98c2-740215630ad4">
      <UserInfo>
        <DisplayName/>
        <AccountId xsi:nil="true"/>
        <AccountType/>
      </UserInfo>
    </Responsible>
    <Status xmlns="24f3646a-db8b-4542-98c2-740215630ad4" xsi:nil="true"/>
  </documentManagement>
</p:properties>
</file>

<file path=customXml/itemProps1.xml><?xml version="1.0" encoding="utf-8"?>
<ds:datastoreItem xmlns:ds="http://schemas.openxmlformats.org/officeDocument/2006/customXml" ds:itemID="{152F7745-3276-4A74-9278-BEF704EB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3.xml><?xml version="1.0" encoding="utf-8"?>
<ds:datastoreItem xmlns:ds="http://schemas.openxmlformats.org/officeDocument/2006/customXml" ds:itemID="{2118B641-2990-4908-83B2-716A25177582}">
  <ds:schemaRefs>
    <ds:schemaRef ds:uri="http://purl.org/dc/terms/"/>
    <ds:schemaRef ds:uri="http://schemas.openxmlformats.org/package/2006/metadata/core-properties"/>
    <ds:schemaRef ds:uri="http://schemas.microsoft.com/office/2006/documentManagement/types"/>
    <ds:schemaRef ds:uri="24f3646a-db8b-4542-98c2-740215630ad4"/>
    <ds:schemaRef ds:uri="http://schemas.microsoft.com/office/infopath/2007/PartnerControls"/>
    <ds:schemaRef ds:uri="http://purl.org/dc/elements/1.1/"/>
    <ds:schemaRef ds:uri="http://schemas.microsoft.com/office/2006/metadata/properties"/>
    <ds:schemaRef ds:uri="414c3542-6921-4646-93ca-1120f4e828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3411</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Hentschel, Franziska</dc:creator>
  <cp:keywords/>
  <dc:description/>
  <cp:lastModifiedBy>Hentschel, Franziska</cp:lastModifiedBy>
  <cp:revision>13</cp:revision>
  <dcterms:created xsi:type="dcterms:W3CDTF">2021-10-12T06:32:00Z</dcterms:created>
  <dcterms:modified xsi:type="dcterms:W3CDTF">2021-10-20T06:55:00Z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2021-10-12T06:32:38Z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bbadffba-3fda-4363-b5ba-3336e9a0bfc9</vt:lpwstr>
  </property>
  <property fmtid="{D5CDD505-2E9C-101B-9397-08002B2CF9AE}" pid="8" name="MSIP_Label_9c86c25f-31f1-46f7-b4f9-3c53b1ed0b07_ContentBits">
    <vt:lpwstr>0</vt:lpwstr>
  </property>
  <property fmtid="{D5CDD505-2E9C-101B-9397-08002B2CF9AE}" pid="9" name="ContentTypeId">
    <vt:lpwstr>0x010100F31356CB58032C4D93495072FA73D9A7</vt:lpwstr>
  </property>
</Properties>
</file>